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6A0" w:rsidRPr="00D0117C" w:rsidRDefault="004006A0" w:rsidP="004006A0">
      <w:pPr>
        <w:keepNext/>
        <w:widowControl w:val="0"/>
        <w:jc w:val="center"/>
        <w:outlineLvl w:val="0"/>
        <w:rPr>
          <w:rFonts w:ascii="Calibri" w:hAnsi="Calibri" w:cs="Calibri"/>
          <w:b/>
          <w:kern w:val="28"/>
          <w:sz w:val="32"/>
          <w:szCs w:val="32"/>
          <w:lang w:val="en-US"/>
        </w:rPr>
      </w:pPr>
      <w:bookmarkStart w:id="0" w:name="_Toc373055686"/>
      <w:bookmarkStart w:id="1" w:name="_Toc373055830"/>
      <w:bookmarkStart w:id="2" w:name="_Toc373056561"/>
      <w:bookmarkStart w:id="3" w:name="_Toc373068131"/>
      <w:bookmarkStart w:id="4" w:name="_Toc373068244"/>
      <w:bookmarkStart w:id="5" w:name="_Toc373068848"/>
      <w:bookmarkStart w:id="6" w:name="_Toc373246605"/>
      <w:bookmarkStart w:id="7" w:name="_Toc373442247"/>
      <w:bookmarkStart w:id="8" w:name="_Toc373442349"/>
      <w:bookmarkStart w:id="9" w:name="_Toc373486757"/>
      <w:bookmarkStart w:id="10" w:name="_Toc373523676"/>
      <w:bookmarkStart w:id="11" w:name="_Toc373524081"/>
      <w:bookmarkStart w:id="12" w:name="_Toc373568899"/>
      <w:bookmarkStart w:id="13" w:name="_Toc373784185"/>
      <w:bookmarkStart w:id="14" w:name="_Toc373784331"/>
      <w:bookmarkStart w:id="15" w:name="_Toc373994707"/>
      <w:bookmarkStart w:id="16" w:name="_Toc373994809"/>
      <w:r w:rsidRPr="00D0117C">
        <w:rPr>
          <w:rFonts w:ascii="Calibri" w:hAnsi="Calibri" w:cs="Calibri"/>
          <w:b/>
          <w:kern w:val="28"/>
          <w:sz w:val="32"/>
          <w:szCs w:val="32"/>
          <w:lang w:val="en-US"/>
        </w:rPr>
        <w:t>POINTS FOR ACTION – TO DO LIST 2013</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4006A0" w:rsidRPr="00D0117C" w:rsidRDefault="004006A0" w:rsidP="004006A0">
      <w:pPr>
        <w:jc w:val="center"/>
        <w:rPr>
          <w:rFonts w:ascii="Calibri" w:hAnsi="Calibri" w:cs="Calibri"/>
          <w:b/>
          <w:snapToGrid w:val="0"/>
          <w:szCs w:val="24"/>
        </w:rPr>
      </w:pPr>
      <w:r w:rsidRPr="00D0117C">
        <w:rPr>
          <w:rFonts w:ascii="Calibri" w:hAnsi="Calibri" w:cs="Calibri"/>
          <w:b/>
          <w:snapToGrid w:val="0"/>
          <w:szCs w:val="24"/>
        </w:rPr>
        <w:t>RESULTING FROM THE 2013 CIA PLENARY MEETING</w:t>
      </w:r>
    </w:p>
    <w:p w:rsidR="004006A0" w:rsidRPr="00D0117C" w:rsidRDefault="004006A0" w:rsidP="004006A0">
      <w:pPr>
        <w:jc w:val="center"/>
        <w:rPr>
          <w:rFonts w:ascii="Calibri" w:hAnsi="Calibri" w:cs="Calibri"/>
          <w:b/>
          <w:snapToGrid w:val="0"/>
          <w:szCs w:val="24"/>
        </w:rPr>
      </w:pPr>
      <w:r w:rsidRPr="00D0117C">
        <w:rPr>
          <w:rFonts w:ascii="Calibri" w:hAnsi="Calibri" w:cs="Calibri"/>
          <w:b/>
          <w:snapToGrid w:val="0"/>
          <w:szCs w:val="24"/>
        </w:rPr>
        <w:t xml:space="preserve">Rio de Janeiro, </w:t>
      </w:r>
      <w:proofErr w:type="gramStart"/>
      <w:r w:rsidRPr="00D0117C">
        <w:rPr>
          <w:rFonts w:ascii="Calibri" w:hAnsi="Calibri" w:cs="Calibri"/>
          <w:b/>
          <w:snapToGrid w:val="0"/>
          <w:szCs w:val="24"/>
        </w:rPr>
        <w:t>Brazil  22</w:t>
      </w:r>
      <w:proofErr w:type="gramEnd"/>
      <w:r w:rsidRPr="00D0117C">
        <w:rPr>
          <w:rFonts w:ascii="Calibri" w:hAnsi="Calibri" w:cs="Calibri"/>
          <w:b/>
          <w:snapToGrid w:val="0"/>
          <w:szCs w:val="24"/>
        </w:rPr>
        <w:t xml:space="preserve"> – 23 March 2013</w:t>
      </w:r>
    </w:p>
    <w:p w:rsidR="004006A0" w:rsidRPr="00D0117C" w:rsidRDefault="004006A0" w:rsidP="004006A0">
      <w:pPr>
        <w:jc w:val="center"/>
        <w:rPr>
          <w:rFonts w:ascii="Calibri" w:hAnsi="Calibri"/>
          <w:sz w:val="20"/>
          <w:lang w:val="en-US"/>
        </w:rPr>
      </w:pPr>
      <w:r w:rsidRPr="00D0117C">
        <w:rPr>
          <w:rFonts w:ascii="Calibri" w:hAnsi="Calibri" w:cs="Calibri"/>
          <w:b/>
          <w:snapToGrid w:val="0"/>
          <w:sz w:val="20"/>
        </w:rPr>
        <w:t xml:space="preserve"> </w:t>
      </w:r>
      <w:bookmarkStart w:id="17" w:name="_GoBack"/>
      <w:bookmarkEnd w:id="17"/>
      <w:r w:rsidRPr="00D0117C">
        <w:rPr>
          <w:rFonts w:ascii="Calibri" w:hAnsi="Calibri"/>
          <w:sz w:val="20"/>
          <w:lang w:val="en-US"/>
        </w:rPr>
        <w:t xml:space="preserve">                      </w:t>
      </w:r>
    </w:p>
    <w:tbl>
      <w:tblPr>
        <w:tblW w:w="14955" w:type="dxa"/>
        <w:tblInd w:w="18" w:type="dxa"/>
        <w:tblLook w:val="04A0" w:firstRow="1" w:lastRow="0" w:firstColumn="1" w:lastColumn="0" w:noHBand="0" w:noVBand="1"/>
      </w:tblPr>
      <w:tblGrid>
        <w:gridCol w:w="1555"/>
        <w:gridCol w:w="6759"/>
        <w:gridCol w:w="1640"/>
        <w:gridCol w:w="1460"/>
        <w:gridCol w:w="1620"/>
        <w:gridCol w:w="1921"/>
      </w:tblGrid>
      <w:tr w:rsidR="004006A0" w:rsidRPr="00D0117C" w:rsidTr="004006A0">
        <w:trPr>
          <w:trHeight w:val="675"/>
        </w:trPr>
        <w:tc>
          <w:tcPr>
            <w:tcW w:w="155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Who</w:t>
            </w:r>
          </w:p>
        </w:tc>
        <w:tc>
          <w:tcPr>
            <w:tcW w:w="6759" w:type="dxa"/>
            <w:tcBorders>
              <w:top w:val="single" w:sz="4" w:space="0" w:color="auto"/>
              <w:left w:val="nil"/>
              <w:bottom w:val="single" w:sz="4" w:space="0" w:color="auto"/>
              <w:right w:val="single" w:sz="4" w:space="0" w:color="auto"/>
            </w:tcBorders>
            <w:shd w:val="clear" w:color="auto" w:fill="D9D9D9"/>
            <w:vAlign w:val="center"/>
            <w:hideMark/>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What</w:t>
            </w:r>
          </w:p>
        </w:tc>
        <w:tc>
          <w:tcPr>
            <w:tcW w:w="1640" w:type="dxa"/>
            <w:tcBorders>
              <w:top w:val="single" w:sz="4" w:space="0" w:color="auto"/>
              <w:left w:val="nil"/>
              <w:bottom w:val="single" w:sz="4" w:space="0" w:color="auto"/>
              <w:right w:val="single" w:sz="4" w:space="0" w:color="auto"/>
            </w:tcBorders>
            <w:shd w:val="clear" w:color="auto" w:fill="D9D9D9"/>
            <w:noWrap/>
            <w:vAlign w:val="center"/>
            <w:hideMark/>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Follow-up</w:t>
            </w:r>
          </w:p>
        </w:tc>
        <w:tc>
          <w:tcPr>
            <w:tcW w:w="1460" w:type="dxa"/>
            <w:tcBorders>
              <w:top w:val="single" w:sz="4" w:space="0" w:color="auto"/>
              <w:left w:val="nil"/>
              <w:bottom w:val="single" w:sz="4" w:space="0" w:color="auto"/>
              <w:right w:val="single" w:sz="4" w:space="0" w:color="auto"/>
            </w:tcBorders>
            <w:shd w:val="clear" w:color="auto" w:fill="D9D9D9"/>
            <w:noWrap/>
            <w:vAlign w:val="center"/>
            <w:hideMark/>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Start date</w:t>
            </w:r>
          </w:p>
        </w:tc>
        <w:tc>
          <w:tcPr>
            <w:tcW w:w="1620" w:type="dxa"/>
            <w:tcBorders>
              <w:top w:val="single" w:sz="4" w:space="0" w:color="auto"/>
              <w:left w:val="nil"/>
              <w:bottom w:val="single" w:sz="4" w:space="0" w:color="auto"/>
              <w:right w:val="single" w:sz="4" w:space="0" w:color="auto"/>
            </w:tcBorders>
            <w:shd w:val="clear" w:color="auto" w:fill="D9D9D9"/>
            <w:noWrap/>
            <w:vAlign w:val="center"/>
            <w:hideMark/>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Deadline</w:t>
            </w:r>
          </w:p>
        </w:tc>
        <w:tc>
          <w:tcPr>
            <w:tcW w:w="1921" w:type="dxa"/>
            <w:tcBorders>
              <w:top w:val="single" w:sz="4" w:space="0" w:color="auto"/>
              <w:left w:val="nil"/>
              <w:bottom w:val="single" w:sz="4" w:space="0" w:color="auto"/>
              <w:right w:val="single" w:sz="4" w:space="0" w:color="auto"/>
            </w:tcBorders>
            <w:shd w:val="clear" w:color="auto" w:fill="D9D9D9"/>
            <w:vAlign w:val="center"/>
            <w:hideMark/>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CIA 2013 Plenary Minutes item #</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All delegates</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Provide written national activity report to CIA secretary</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CIA secretary</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 Dec 31,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11</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All delegates</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Provide 2013 CIA statistics questionnaire to CIA secretary</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CIA secretary</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 Dec 31,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11</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Jury Board</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Update Jury Tests</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Jury Board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12</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Officials SC</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Update COH with job definitions of the officials in comp with  </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Officials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Spring 2013</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13</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Officials SC</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Provide pictures and officials' jobs descriptions to PMR SC </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PMR SC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13</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All delegates</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Distribute CIA and PMR information nationally to all concerned people</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PMR SC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14</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All delegates</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Encourage ballooning people nationally to provide PMR SC with timely ballooning information</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PMR SC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14</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Competitors SC</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Discussion of possible standardization of the Competitors Survey</w:t>
            </w:r>
          </w:p>
          <w:p w:rsidR="004006A0" w:rsidRPr="00D0117C" w:rsidRDefault="004006A0" w:rsidP="00B3254E">
            <w:pPr>
              <w:rPr>
                <w:rFonts w:ascii="Calibri" w:hAnsi="Calibri" w:cs="Calibri"/>
                <w:b/>
                <w:i/>
                <w:color w:val="000000"/>
                <w:sz w:val="20"/>
                <w:lang w:val="en-US"/>
              </w:rPr>
            </w:pP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CSC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18</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highlight w:val="yellow"/>
                <w:lang w:val="en-US"/>
              </w:rPr>
            </w:pPr>
            <w:r w:rsidRPr="00D0117C">
              <w:rPr>
                <w:rFonts w:ascii="Calibri" w:hAnsi="Calibri" w:cs="Calibri"/>
                <w:b/>
                <w:bCs/>
                <w:color w:val="000000"/>
                <w:sz w:val="20"/>
                <w:lang w:val="en-US"/>
              </w:rPr>
              <w:t>Competitors SC</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Discussion of Proposals to be discussed over the next 12 months. </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Proposal to reconsider and redefine FAI CAT2 events in aerostation</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Proposal for the introduction of a mandatory CIA RANKING LIST</w:t>
            </w:r>
          </w:p>
          <w:p w:rsidR="004006A0" w:rsidRPr="00D0117C" w:rsidRDefault="004006A0" w:rsidP="00B3254E">
            <w:pPr>
              <w:rPr>
                <w:rFonts w:ascii="Calibri" w:hAnsi="Calibri" w:cs="Calibri"/>
                <w:color w:val="000000"/>
                <w:sz w:val="20"/>
                <w:highlight w:val="yellow"/>
                <w:lang w:val="en-US"/>
              </w:rPr>
            </w:pPr>
            <w:r>
              <w:rPr>
                <w:rFonts w:ascii="Calibri" w:hAnsi="Calibri" w:cs="Calibri"/>
                <w:color w:val="000000"/>
                <w:sz w:val="20"/>
                <w:lang w:val="en-US"/>
              </w:rPr>
              <w:t xml:space="preserve">• </w:t>
            </w:r>
            <w:r w:rsidRPr="00D0117C">
              <w:rPr>
                <w:rFonts w:ascii="Calibri" w:hAnsi="Calibri" w:cs="Calibri"/>
                <w:color w:val="000000"/>
                <w:sz w:val="20"/>
                <w:lang w:val="en-US"/>
              </w:rPr>
              <w:t>Proposal to make mandatory World-, Continental- and WAG Championship Test Events an integral part of the Championship sanction</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highlight w:val="yellow"/>
                <w:lang w:val="en-US"/>
              </w:rPr>
            </w:pPr>
            <w:r w:rsidRPr="00D0117C">
              <w:rPr>
                <w:rFonts w:ascii="Calibri" w:hAnsi="Calibri" w:cs="Calibri"/>
                <w:b/>
                <w:bCs/>
                <w:color w:val="000000"/>
                <w:sz w:val="20"/>
                <w:lang w:val="en-US"/>
              </w:rPr>
              <w:t>CSC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highlight w:val="yellow"/>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highlight w:val="yellow"/>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highlight w:val="yellow"/>
                <w:lang w:val="en-US"/>
              </w:rPr>
            </w:pPr>
            <w:r w:rsidRPr="00D0117C">
              <w:rPr>
                <w:rFonts w:ascii="Calibri" w:hAnsi="Calibri" w:cs="Calibri"/>
                <w:color w:val="000000"/>
                <w:sz w:val="20"/>
                <w:lang w:val="en-US"/>
              </w:rPr>
              <w:t>18</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highlight w:val="yellow"/>
                <w:lang w:val="en-US"/>
              </w:rPr>
            </w:pPr>
            <w:r w:rsidRPr="00D0117C">
              <w:rPr>
                <w:rFonts w:ascii="Calibri" w:hAnsi="Calibri" w:cs="Calibri"/>
                <w:b/>
                <w:bCs/>
                <w:color w:val="000000"/>
                <w:sz w:val="20"/>
                <w:lang w:val="en-US"/>
              </w:rPr>
              <w:t>Competitors SC</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Discussion of Team Events</w:t>
            </w:r>
          </w:p>
          <w:p w:rsidR="004006A0" w:rsidRPr="00D0117C" w:rsidRDefault="004006A0" w:rsidP="00B3254E">
            <w:pPr>
              <w:rPr>
                <w:rFonts w:ascii="Calibri" w:hAnsi="Calibri" w:cs="Calibri"/>
                <w:color w:val="000000"/>
                <w:sz w:val="20"/>
                <w:highlight w:val="yellow"/>
                <w:lang w:val="en-US"/>
              </w:rPr>
            </w:pPr>
            <w:r w:rsidRPr="00D0117C">
              <w:rPr>
                <w:rFonts w:ascii="Calibri" w:hAnsi="Calibri" w:cs="Calibri"/>
                <w:color w:val="000000"/>
                <w:sz w:val="20"/>
                <w:lang w:val="en-US"/>
              </w:rPr>
              <w:t xml:space="preserve">Two styles of team events have been discussed in other committees the CSC </w:t>
            </w:r>
            <w:proofErr w:type="gramStart"/>
            <w:r w:rsidRPr="00D0117C">
              <w:rPr>
                <w:rFonts w:ascii="Calibri" w:hAnsi="Calibri" w:cs="Calibri"/>
                <w:color w:val="000000"/>
                <w:sz w:val="20"/>
                <w:lang w:val="en-US"/>
              </w:rPr>
              <w:t>supports</w:t>
            </w:r>
            <w:proofErr w:type="gramEnd"/>
            <w:r w:rsidRPr="00D0117C">
              <w:rPr>
                <w:rFonts w:ascii="Calibri" w:hAnsi="Calibri" w:cs="Calibri"/>
                <w:color w:val="000000"/>
                <w:sz w:val="20"/>
                <w:lang w:val="en-US"/>
              </w:rPr>
              <w:t xml:space="preserve"> both these concepts.  As stated in previous minutes, the CSC fully supports the development of team competition which will lead to better communication between competitors, better mentoring of new pilots and new/exciting possibilities for competition.</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highlight w:val="yellow"/>
                <w:lang w:val="en-US"/>
              </w:rPr>
            </w:pPr>
            <w:r w:rsidRPr="00D0117C">
              <w:rPr>
                <w:rFonts w:ascii="Calibri" w:hAnsi="Calibri" w:cs="Calibri"/>
                <w:b/>
                <w:bCs/>
                <w:color w:val="000000"/>
                <w:sz w:val="20"/>
                <w:lang w:val="en-US"/>
              </w:rPr>
              <w:t>CSC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highlight w:val="yellow"/>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highlight w:val="yellow"/>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highlight w:val="yellow"/>
                <w:lang w:val="en-US"/>
              </w:rPr>
            </w:pPr>
            <w:r w:rsidRPr="00D0117C">
              <w:rPr>
                <w:rFonts w:ascii="Calibri" w:hAnsi="Calibri" w:cs="Calibri"/>
                <w:color w:val="000000"/>
                <w:sz w:val="20"/>
                <w:lang w:val="en-US"/>
              </w:rPr>
              <w:t>18</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Rules SC</w:t>
            </w:r>
          </w:p>
        </w:tc>
        <w:tc>
          <w:tcPr>
            <w:tcW w:w="6759" w:type="dxa"/>
            <w:tcBorders>
              <w:top w:val="nil"/>
              <w:left w:val="nil"/>
              <w:bottom w:val="single" w:sz="4" w:space="0" w:color="auto"/>
              <w:right w:val="single" w:sz="4" w:space="0" w:color="auto"/>
            </w:tcBorders>
            <w:shd w:val="clear" w:color="auto" w:fill="auto"/>
          </w:tcPr>
          <w:p w:rsidR="004006A0" w:rsidRPr="00D0117C" w:rsidRDefault="004006A0" w:rsidP="00B3254E">
            <w:pPr>
              <w:rPr>
                <w:rFonts w:ascii="Calibri" w:hAnsi="Calibri"/>
                <w:sz w:val="20"/>
              </w:rPr>
            </w:pPr>
            <w:r w:rsidRPr="00D0117C">
              <w:rPr>
                <w:rFonts w:ascii="Calibri" w:hAnsi="Calibri"/>
                <w:sz w:val="20"/>
              </w:rPr>
              <w:t>Study Lithuanian proposal for the creation and implementation of "team scoring" possibilities in AX events, and make recommendations to the Plenary</w:t>
            </w:r>
          </w:p>
        </w:tc>
        <w:tc>
          <w:tcPr>
            <w:tcW w:w="164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p>
          <w:p w:rsidR="004006A0" w:rsidRPr="00D0117C" w:rsidRDefault="004006A0" w:rsidP="00B3254E">
            <w:pPr>
              <w:rPr>
                <w:rFonts w:ascii="Calibri" w:hAnsi="Calibri"/>
                <w:b/>
                <w:sz w:val="20"/>
              </w:rPr>
            </w:pPr>
            <w:r w:rsidRPr="00D0117C">
              <w:rPr>
                <w:rFonts w:ascii="Calibri" w:hAnsi="Calibri"/>
                <w:b/>
                <w:sz w:val="20"/>
              </w:rPr>
              <w:t>RSC chair</w:t>
            </w:r>
          </w:p>
        </w:tc>
        <w:tc>
          <w:tcPr>
            <w:tcW w:w="146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p>
          <w:p w:rsidR="004006A0" w:rsidRPr="00D0117C" w:rsidRDefault="004006A0" w:rsidP="00B3254E">
            <w:pPr>
              <w:rPr>
                <w:rFonts w:ascii="Calibri" w:hAnsi="Calibri"/>
                <w:sz w:val="20"/>
              </w:rPr>
            </w:pPr>
            <w:r w:rsidRPr="00D0117C">
              <w:rPr>
                <w:rFonts w:ascii="Calibri" w:hAnsi="Calibri"/>
                <w:sz w:val="20"/>
              </w:rPr>
              <w:t>Plenary 2012</w:t>
            </w:r>
          </w:p>
        </w:tc>
        <w:tc>
          <w:tcPr>
            <w:tcW w:w="162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p>
          <w:p w:rsidR="004006A0" w:rsidRPr="00D0117C" w:rsidRDefault="004006A0" w:rsidP="00B3254E">
            <w:pPr>
              <w:rPr>
                <w:rFonts w:ascii="Calibri" w:hAnsi="Calibri"/>
                <w:sz w:val="20"/>
              </w:rPr>
            </w:pPr>
            <w:r w:rsidRPr="00D0117C">
              <w:rPr>
                <w:rFonts w:ascii="Calibri" w:hAnsi="Calibri"/>
                <w:sz w:val="20"/>
              </w:rPr>
              <w:t>Plenary 2013</w:t>
            </w:r>
          </w:p>
        </w:tc>
        <w:tc>
          <w:tcPr>
            <w:tcW w:w="1921" w:type="dxa"/>
            <w:tcBorders>
              <w:top w:val="nil"/>
              <w:left w:val="nil"/>
              <w:bottom w:val="single" w:sz="4" w:space="0" w:color="auto"/>
              <w:right w:val="single" w:sz="4" w:space="0" w:color="auto"/>
            </w:tcBorders>
            <w:shd w:val="clear" w:color="auto" w:fill="auto"/>
          </w:tcPr>
          <w:p w:rsidR="004006A0" w:rsidRPr="00D0117C" w:rsidRDefault="004006A0" w:rsidP="00B3254E">
            <w:pPr>
              <w:rPr>
                <w:rFonts w:ascii="Calibri" w:hAnsi="Calibri"/>
                <w:sz w:val="20"/>
              </w:rPr>
            </w:pPr>
          </w:p>
          <w:p w:rsidR="004006A0" w:rsidRPr="00D0117C" w:rsidRDefault="004006A0" w:rsidP="00B3254E">
            <w:pPr>
              <w:jc w:val="center"/>
              <w:rPr>
                <w:rFonts w:ascii="Calibri" w:hAnsi="Calibri"/>
                <w:sz w:val="20"/>
              </w:rPr>
            </w:pPr>
            <w:r w:rsidRPr="00D0117C">
              <w:rPr>
                <w:rFonts w:ascii="Calibri" w:hAnsi="Calibri"/>
                <w:sz w:val="20"/>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lastRenderedPageBreak/>
              <w:t>AX WG</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Allow the use of turning vents in flight for the purpose of orienting the basket</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AX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AX WG</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Rule 8.4.7 will be investigated for situations competitors fly out of the set distance limits and reenter.</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AX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BA/BX WG</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Prepare a promotion campaign to be addressed to all delegates of in order to stimulate interest in further </w:t>
            </w:r>
            <w:proofErr w:type="spellStart"/>
            <w:r w:rsidRPr="00D0117C">
              <w:rPr>
                <w:rFonts w:ascii="Calibri" w:hAnsi="Calibri" w:cs="Calibri"/>
                <w:color w:val="000000"/>
                <w:sz w:val="20"/>
                <w:lang w:val="en-US"/>
              </w:rPr>
              <w:t>organisation</w:t>
            </w:r>
            <w:proofErr w:type="spellEnd"/>
            <w:r w:rsidRPr="00D0117C">
              <w:rPr>
                <w:rFonts w:ascii="Calibri" w:hAnsi="Calibri" w:cs="Calibri"/>
                <w:color w:val="000000"/>
                <w:sz w:val="20"/>
                <w:lang w:val="en-US"/>
              </w:rPr>
              <w:t xml:space="preserve"> of international airship events</w:t>
            </w:r>
          </w:p>
          <w:p w:rsidR="004006A0" w:rsidRPr="00D0117C" w:rsidRDefault="004006A0" w:rsidP="00B3254E">
            <w:pPr>
              <w:rPr>
                <w:rFonts w:ascii="Calibri" w:hAnsi="Calibri" w:cs="Calibri"/>
                <w:color w:val="000000"/>
                <w:sz w:val="20"/>
                <w:lang w:val="en-US"/>
              </w:rPr>
            </w:pP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BX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Plenary 2014 </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BA/BX WG</w:t>
            </w:r>
          </w:p>
        </w:tc>
        <w:tc>
          <w:tcPr>
            <w:tcW w:w="6759" w:type="dxa"/>
            <w:tcBorders>
              <w:top w:val="nil"/>
              <w:left w:val="nil"/>
              <w:bottom w:val="single" w:sz="4" w:space="0" w:color="auto"/>
              <w:right w:val="single" w:sz="4" w:space="0" w:color="auto"/>
            </w:tcBorders>
            <w:shd w:val="clear" w:color="auto" w:fill="auto"/>
          </w:tcPr>
          <w:p w:rsidR="004006A0" w:rsidRPr="00D0117C" w:rsidRDefault="004006A0" w:rsidP="00B3254E">
            <w:pPr>
              <w:rPr>
                <w:rFonts w:ascii="Calibri" w:hAnsi="Calibri"/>
                <w:sz w:val="20"/>
              </w:rPr>
            </w:pPr>
            <w:r w:rsidRPr="00D0117C">
              <w:rPr>
                <w:rFonts w:ascii="Calibri" w:hAnsi="Calibri"/>
                <w:sz w:val="20"/>
              </w:rPr>
              <w:t>Discussion of airship definitions and classification</w:t>
            </w:r>
          </w:p>
        </w:tc>
        <w:tc>
          <w:tcPr>
            <w:tcW w:w="164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RSC chair</w:t>
            </w:r>
          </w:p>
        </w:tc>
        <w:tc>
          <w:tcPr>
            <w:tcW w:w="146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r w:rsidRPr="00D0117C">
              <w:rPr>
                <w:rFonts w:ascii="Calibri" w:hAnsi="Calibri"/>
                <w:sz w:val="20"/>
              </w:rPr>
              <w:t>Plenary 2012</w:t>
            </w:r>
          </w:p>
        </w:tc>
        <w:tc>
          <w:tcPr>
            <w:tcW w:w="162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r w:rsidRPr="00D0117C">
              <w:rPr>
                <w:rFonts w:ascii="Calibri" w:hAnsi="Calibri"/>
                <w:sz w:val="20"/>
              </w:rPr>
              <w:t>Plenary 2013</w:t>
            </w:r>
          </w:p>
        </w:tc>
        <w:tc>
          <w:tcPr>
            <w:tcW w:w="1921" w:type="dxa"/>
            <w:tcBorders>
              <w:top w:val="nil"/>
              <w:left w:val="nil"/>
              <w:bottom w:val="single" w:sz="4" w:space="0" w:color="auto"/>
              <w:right w:val="single" w:sz="4" w:space="0" w:color="auto"/>
            </w:tcBorders>
            <w:shd w:val="clear" w:color="auto" w:fill="auto"/>
          </w:tcPr>
          <w:p w:rsidR="004006A0" w:rsidRPr="00D0117C" w:rsidRDefault="004006A0" w:rsidP="00B3254E">
            <w:pPr>
              <w:jc w:val="center"/>
              <w:rPr>
                <w:rFonts w:ascii="Calibri" w:hAnsi="Calibri"/>
                <w:sz w:val="20"/>
              </w:rPr>
            </w:pPr>
            <w:r w:rsidRPr="00D0117C">
              <w:rPr>
                <w:rFonts w:ascii="Calibri" w:hAnsi="Calibri"/>
                <w:sz w:val="20"/>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BA/BX WG</w:t>
            </w:r>
          </w:p>
        </w:tc>
        <w:tc>
          <w:tcPr>
            <w:tcW w:w="6759" w:type="dxa"/>
            <w:tcBorders>
              <w:top w:val="nil"/>
              <w:left w:val="nil"/>
              <w:bottom w:val="single" w:sz="4" w:space="0" w:color="auto"/>
              <w:right w:val="single" w:sz="4" w:space="0" w:color="auto"/>
            </w:tcBorders>
            <w:shd w:val="clear" w:color="auto" w:fill="auto"/>
          </w:tcPr>
          <w:p w:rsidR="004006A0" w:rsidRPr="00D0117C" w:rsidRDefault="004006A0" w:rsidP="00B3254E">
            <w:pPr>
              <w:rPr>
                <w:rFonts w:ascii="Calibri" w:hAnsi="Calibri"/>
                <w:sz w:val="20"/>
              </w:rPr>
            </w:pPr>
            <w:r w:rsidRPr="00D0117C">
              <w:rPr>
                <w:rFonts w:ascii="Calibri" w:hAnsi="Calibri"/>
                <w:sz w:val="20"/>
              </w:rPr>
              <w:t>Proposal to modify Class B subclasses to be forwarded to the Records SC for cross checking purposes NO ACTION AS FAR AS I KNOW</w:t>
            </w:r>
          </w:p>
        </w:tc>
        <w:tc>
          <w:tcPr>
            <w:tcW w:w="164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BA/BX WG chair</w:t>
            </w:r>
          </w:p>
        </w:tc>
        <w:tc>
          <w:tcPr>
            <w:tcW w:w="146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r w:rsidRPr="00D0117C">
              <w:rPr>
                <w:rFonts w:ascii="Calibri" w:hAnsi="Calibri"/>
                <w:sz w:val="20"/>
              </w:rPr>
              <w:t>Plenary 2012</w:t>
            </w:r>
          </w:p>
        </w:tc>
        <w:tc>
          <w:tcPr>
            <w:tcW w:w="162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r w:rsidRPr="00D0117C">
              <w:rPr>
                <w:rFonts w:ascii="Calibri" w:hAnsi="Calibri"/>
                <w:sz w:val="20"/>
              </w:rPr>
              <w:t>Plenary 2013</w:t>
            </w:r>
          </w:p>
        </w:tc>
        <w:tc>
          <w:tcPr>
            <w:tcW w:w="1921" w:type="dxa"/>
            <w:tcBorders>
              <w:top w:val="nil"/>
              <w:left w:val="nil"/>
              <w:bottom w:val="single" w:sz="4" w:space="0" w:color="auto"/>
              <w:right w:val="single" w:sz="4" w:space="0" w:color="auto"/>
            </w:tcBorders>
            <w:shd w:val="clear" w:color="auto" w:fill="auto"/>
          </w:tcPr>
          <w:p w:rsidR="004006A0" w:rsidRPr="00D0117C" w:rsidRDefault="004006A0" w:rsidP="00B3254E">
            <w:pPr>
              <w:jc w:val="center"/>
              <w:rPr>
                <w:rFonts w:ascii="Calibri" w:hAnsi="Calibri"/>
                <w:sz w:val="20"/>
              </w:rPr>
            </w:pPr>
            <w:r w:rsidRPr="00D0117C">
              <w:rPr>
                <w:rFonts w:ascii="Calibri" w:hAnsi="Calibri"/>
                <w:sz w:val="20"/>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Scoring WG</w:t>
            </w:r>
          </w:p>
        </w:tc>
        <w:tc>
          <w:tcPr>
            <w:tcW w:w="6759" w:type="dxa"/>
            <w:tcBorders>
              <w:top w:val="nil"/>
              <w:left w:val="nil"/>
              <w:bottom w:val="single" w:sz="4" w:space="0" w:color="auto"/>
              <w:right w:val="single" w:sz="4" w:space="0" w:color="auto"/>
            </w:tcBorders>
            <w:shd w:val="clear" w:color="auto" w:fill="auto"/>
          </w:tcPr>
          <w:p w:rsidR="004006A0" w:rsidRPr="00D0117C" w:rsidRDefault="004006A0" w:rsidP="00B3254E">
            <w:pPr>
              <w:rPr>
                <w:rFonts w:ascii="Calibri" w:hAnsi="Calibri"/>
                <w:sz w:val="20"/>
              </w:rPr>
            </w:pPr>
            <w:r w:rsidRPr="00D0117C">
              <w:rPr>
                <w:rFonts w:ascii="Calibri" w:hAnsi="Calibri"/>
                <w:sz w:val="20"/>
              </w:rPr>
              <w:t>Items referred to the WG by other SCs or WGs to be published on the CIA Scoring WG Forum</w:t>
            </w:r>
          </w:p>
        </w:tc>
        <w:tc>
          <w:tcPr>
            <w:tcW w:w="164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b/>
                <w:sz w:val="20"/>
              </w:rPr>
            </w:pPr>
            <w:r w:rsidRPr="00D0117C">
              <w:rPr>
                <w:rFonts w:ascii="Calibri" w:hAnsi="Calibri"/>
                <w:b/>
                <w:sz w:val="20"/>
              </w:rPr>
              <w:t>Scoring WG chair</w:t>
            </w:r>
          </w:p>
        </w:tc>
        <w:tc>
          <w:tcPr>
            <w:tcW w:w="146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r w:rsidRPr="00D0117C">
              <w:rPr>
                <w:rFonts w:ascii="Calibri" w:hAnsi="Calibri"/>
                <w:sz w:val="20"/>
              </w:rPr>
              <w:t>Plenary 2012</w:t>
            </w:r>
          </w:p>
        </w:tc>
        <w:tc>
          <w:tcPr>
            <w:tcW w:w="1620" w:type="dxa"/>
            <w:tcBorders>
              <w:top w:val="nil"/>
              <w:left w:val="nil"/>
              <w:bottom w:val="single" w:sz="4" w:space="0" w:color="auto"/>
              <w:right w:val="single" w:sz="4" w:space="0" w:color="auto"/>
            </w:tcBorders>
            <w:shd w:val="clear" w:color="auto" w:fill="auto"/>
            <w:noWrap/>
          </w:tcPr>
          <w:p w:rsidR="004006A0" w:rsidRPr="00D0117C" w:rsidRDefault="004006A0" w:rsidP="00B3254E">
            <w:pPr>
              <w:rPr>
                <w:rFonts w:ascii="Calibri" w:hAnsi="Calibri"/>
                <w:sz w:val="20"/>
              </w:rPr>
            </w:pPr>
            <w:r w:rsidRPr="00D0117C">
              <w:rPr>
                <w:rFonts w:ascii="Calibri" w:hAnsi="Calibri"/>
                <w:sz w:val="20"/>
              </w:rPr>
              <w:t>Plenary 2013</w:t>
            </w:r>
          </w:p>
        </w:tc>
        <w:tc>
          <w:tcPr>
            <w:tcW w:w="1921" w:type="dxa"/>
            <w:tcBorders>
              <w:top w:val="nil"/>
              <w:left w:val="nil"/>
              <w:bottom w:val="single" w:sz="4" w:space="0" w:color="auto"/>
              <w:right w:val="single" w:sz="4" w:space="0" w:color="auto"/>
            </w:tcBorders>
            <w:shd w:val="clear" w:color="auto" w:fill="auto"/>
          </w:tcPr>
          <w:p w:rsidR="004006A0" w:rsidRPr="00D0117C" w:rsidRDefault="004006A0" w:rsidP="00B3254E">
            <w:pPr>
              <w:jc w:val="center"/>
              <w:rPr>
                <w:rFonts w:ascii="Calibri" w:hAnsi="Calibri"/>
                <w:sz w:val="20"/>
              </w:rPr>
            </w:pPr>
            <w:r w:rsidRPr="00D0117C">
              <w:rPr>
                <w:rFonts w:ascii="Calibri" w:hAnsi="Calibri"/>
                <w:sz w:val="20"/>
              </w:rPr>
              <w:t>19</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Proposal to reconsider and redefine FAI CAT2 events in aerostation</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Possibility to transition to a new system of categorization</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Gold, Silver and Bronze events --- idea is fading</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Table to 2014 and discuss during next 12 months via EDS forum</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(open to all participants)</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 Plenary 2013</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 Plenary 2014</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15</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Proposal to make mandatory World-, Continental- and WAG Championship Test Events an integral part of the Championship sanction</w:t>
            </w:r>
          </w:p>
          <w:p w:rsidR="004006A0" w:rsidRPr="00D0117C" w:rsidRDefault="004006A0" w:rsidP="00B3254E">
            <w:pPr>
              <w:rPr>
                <w:rFonts w:ascii="Calibri" w:hAnsi="Calibri" w:cs="Calibri"/>
                <w:color w:val="000000"/>
                <w:sz w:val="20"/>
                <w:lang w:val="en-US"/>
              </w:rPr>
            </w:pPr>
            <w:r>
              <w:rPr>
                <w:rFonts w:ascii="Calibri" w:hAnsi="Calibri" w:cs="Calibri"/>
                <w:color w:val="000000"/>
                <w:sz w:val="20"/>
                <w:lang w:val="en-US"/>
              </w:rPr>
              <w:t xml:space="preserve">• </w:t>
            </w:r>
            <w:r w:rsidRPr="00D0117C">
              <w:rPr>
                <w:rFonts w:ascii="Calibri" w:hAnsi="Calibri" w:cs="Calibri"/>
                <w:color w:val="000000"/>
                <w:sz w:val="20"/>
                <w:lang w:val="en-US"/>
              </w:rPr>
              <w:t>Tabled until 2014 – discussion during next 12 months using EDS Forum</w:t>
            </w:r>
          </w:p>
          <w:p w:rsidR="004006A0" w:rsidRPr="00D0117C" w:rsidRDefault="004006A0" w:rsidP="00B3254E">
            <w:pPr>
              <w:rPr>
                <w:rFonts w:ascii="Calibri" w:hAnsi="Calibri" w:cs="Calibri"/>
                <w:color w:val="000000"/>
                <w:sz w:val="20"/>
                <w:lang w:val="en-US"/>
              </w:rPr>
            </w:pP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15</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Coordinate with the FAI Com. Manager and CIA secretary the updating of the CIA EDS Webpages </w:t>
            </w:r>
            <w:r w:rsidRPr="00D0117C">
              <w:rPr>
                <w:rFonts w:ascii="Calibri" w:hAnsi="Calibri" w:cs="Calibri"/>
                <w:b/>
                <w:i/>
                <w:color w:val="000000"/>
                <w:sz w:val="20"/>
                <w:lang w:val="en-US"/>
              </w:rPr>
              <w:t xml:space="preserve"> </w:t>
            </w:r>
            <w:r w:rsidRPr="00D0117C">
              <w:rPr>
                <w:rFonts w:ascii="Calibri" w:hAnsi="Calibri" w:cs="Calibri"/>
                <w:color w:val="000000"/>
                <w:sz w:val="20"/>
                <w:lang w:val="en-US"/>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CIA secretary</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15</w:t>
            </w:r>
          </w:p>
        </w:tc>
      </w:tr>
      <w:tr w:rsidR="004006A0" w:rsidRPr="00D0117C" w:rsidTr="004006A0">
        <w:trPr>
          <w:trHeight w:val="675"/>
        </w:trPr>
        <w:tc>
          <w:tcPr>
            <w:tcW w:w="1555" w:type="dxa"/>
            <w:tcBorders>
              <w:top w:val="nil"/>
              <w:left w:val="single" w:sz="4" w:space="0" w:color="auto"/>
              <w:bottom w:val="nil"/>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w:t>
            </w:r>
          </w:p>
        </w:tc>
        <w:tc>
          <w:tcPr>
            <w:tcW w:w="6759" w:type="dxa"/>
            <w:tcBorders>
              <w:top w:val="nil"/>
              <w:left w:val="nil"/>
              <w:bottom w:val="nil"/>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Update all EDS documents </w:t>
            </w:r>
            <w:r w:rsidRPr="00D0117C">
              <w:rPr>
                <w:rFonts w:ascii="Calibri" w:hAnsi="Calibri" w:cs="Calibri"/>
                <w:b/>
                <w:i/>
                <w:color w:val="000000"/>
                <w:sz w:val="20"/>
                <w:lang w:val="en-US"/>
              </w:rPr>
              <w:t xml:space="preserve"> </w:t>
            </w:r>
            <w:r w:rsidRPr="00D0117C">
              <w:rPr>
                <w:rFonts w:ascii="Calibri" w:hAnsi="Calibri" w:cs="Calibri"/>
                <w:color w:val="000000"/>
                <w:sz w:val="20"/>
                <w:lang w:val="en-US"/>
              </w:rPr>
              <w:t xml:space="preserve"> </w:t>
            </w:r>
          </w:p>
        </w:tc>
        <w:tc>
          <w:tcPr>
            <w:tcW w:w="1640" w:type="dxa"/>
            <w:tcBorders>
              <w:top w:val="nil"/>
              <w:left w:val="nil"/>
              <w:bottom w:val="nil"/>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EDS chair</w:t>
            </w:r>
          </w:p>
        </w:tc>
        <w:tc>
          <w:tcPr>
            <w:tcW w:w="1460" w:type="dxa"/>
            <w:tcBorders>
              <w:top w:val="nil"/>
              <w:left w:val="nil"/>
              <w:bottom w:val="nil"/>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nil"/>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nil"/>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15</w:t>
            </w:r>
          </w:p>
        </w:tc>
      </w:tr>
      <w:tr w:rsidR="004006A0" w:rsidRPr="00D0117C" w:rsidTr="004006A0">
        <w:trPr>
          <w:trHeight w:val="675"/>
        </w:trPr>
        <w:tc>
          <w:tcPr>
            <w:tcW w:w="1555"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Records</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Need to update CBFAI compatible with later versions of Windows and other operative systems. Programming experts will be contacted.</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Records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16</w:t>
            </w:r>
          </w:p>
        </w:tc>
      </w:tr>
    </w:tbl>
    <w:p w:rsidR="004006A0" w:rsidRPr="00D0117C" w:rsidRDefault="004006A0" w:rsidP="004006A0">
      <w:pPr>
        <w:rPr>
          <w:highlight w:val="yellow"/>
        </w:rPr>
      </w:pPr>
      <w:r w:rsidRPr="00D0117C">
        <w:rPr>
          <w:highlight w:val="yellow"/>
        </w:rPr>
        <w:br w:type="page"/>
      </w:r>
    </w:p>
    <w:tbl>
      <w:tblPr>
        <w:tblW w:w="14880" w:type="dxa"/>
        <w:tblInd w:w="93" w:type="dxa"/>
        <w:tblLook w:val="04A0" w:firstRow="1" w:lastRow="0" w:firstColumn="1" w:lastColumn="0" w:noHBand="0" w:noVBand="1"/>
      </w:tblPr>
      <w:tblGrid>
        <w:gridCol w:w="1480"/>
        <w:gridCol w:w="6759"/>
        <w:gridCol w:w="1640"/>
        <w:gridCol w:w="1460"/>
        <w:gridCol w:w="1620"/>
        <w:gridCol w:w="1921"/>
      </w:tblGrid>
      <w:tr w:rsidR="004006A0" w:rsidRPr="00D0117C" w:rsidTr="00B3254E">
        <w:trPr>
          <w:trHeight w:val="675"/>
        </w:trPr>
        <w:tc>
          <w:tcPr>
            <w:tcW w:w="1480" w:type="dxa"/>
            <w:tcBorders>
              <w:top w:val="nil"/>
              <w:left w:val="single" w:sz="4" w:space="0" w:color="auto"/>
              <w:bottom w:val="single" w:sz="4" w:space="0" w:color="auto"/>
              <w:right w:val="single" w:sz="4" w:space="0" w:color="auto"/>
            </w:tcBorders>
            <w:shd w:val="clear" w:color="auto" w:fill="D9D9D9"/>
            <w:noWrap/>
            <w:vAlign w:val="center"/>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lastRenderedPageBreak/>
              <w:t>Who</w:t>
            </w:r>
          </w:p>
        </w:tc>
        <w:tc>
          <w:tcPr>
            <w:tcW w:w="6759" w:type="dxa"/>
            <w:tcBorders>
              <w:top w:val="nil"/>
              <w:left w:val="nil"/>
              <w:bottom w:val="single" w:sz="4" w:space="0" w:color="auto"/>
              <w:right w:val="single" w:sz="4" w:space="0" w:color="auto"/>
            </w:tcBorders>
            <w:shd w:val="clear" w:color="auto" w:fill="D9D9D9"/>
            <w:vAlign w:val="center"/>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What</w:t>
            </w:r>
          </w:p>
        </w:tc>
        <w:tc>
          <w:tcPr>
            <w:tcW w:w="1640" w:type="dxa"/>
            <w:tcBorders>
              <w:top w:val="nil"/>
              <w:left w:val="nil"/>
              <w:bottom w:val="single" w:sz="4" w:space="0" w:color="auto"/>
              <w:right w:val="single" w:sz="4" w:space="0" w:color="auto"/>
            </w:tcBorders>
            <w:shd w:val="clear" w:color="auto" w:fill="D9D9D9"/>
            <w:noWrap/>
            <w:vAlign w:val="center"/>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Follow-up</w:t>
            </w:r>
          </w:p>
        </w:tc>
        <w:tc>
          <w:tcPr>
            <w:tcW w:w="1460" w:type="dxa"/>
            <w:tcBorders>
              <w:top w:val="nil"/>
              <w:left w:val="nil"/>
              <w:bottom w:val="single" w:sz="4" w:space="0" w:color="auto"/>
              <w:right w:val="single" w:sz="4" w:space="0" w:color="auto"/>
            </w:tcBorders>
            <w:shd w:val="clear" w:color="auto" w:fill="D9D9D9"/>
            <w:noWrap/>
            <w:vAlign w:val="center"/>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Start date</w:t>
            </w:r>
          </w:p>
        </w:tc>
        <w:tc>
          <w:tcPr>
            <w:tcW w:w="1620" w:type="dxa"/>
            <w:tcBorders>
              <w:top w:val="nil"/>
              <w:left w:val="nil"/>
              <w:bottom w:val="single" w:sz="4" w:space="0" w:color="auto"/>
              <w:right w:val="single" w:sz="4" w:space="0" w:color="auto"/>
            </w:tcBorders>
            <w:shd w:val="clear" w:color="auto" w:fill="D9D9D9"/>
            <w:noWrap/>
            <w:vAlign w:val="center"/>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Deadline</w:t>
            </w:r>
          </w:p>
        </w:tc>
        <w:tc>
          <w:tcPr>
            <w:tcW w:w="1921" w:type="dxa"/>
            <w:tcBorders>
              <w:top w:val="nil"/>
              <w:left w:val="nil"/>
              <w:bottom w:val="single" w:sz="4" w:space="0" w:color="auto"/>
              <w:right w:val="single" w:sz="4" w:space="0" w:color="auto"/>
            </w:tcBorders>
            <w:shd w:val="clear" w:color="auto" w:fill="D9D9D9"/>
            <w:vAlign w:val="center"/>
          </w:tcPr>
          <w:p w:rsidR="004006A0" w:rsidRPr="00D0117C" w:rsidRDefault="004006A0" w:rsidP="00B3254E">
            <w:pPr>
              <w:jc w:val="center"/>
              <w:rPr>
                <w:rFonts w:ascii="Calibri" w:hAnsi="Calibri" w:cs="Calibri"/>
                <w:b/>
                <w:bCs/>
                <w:color w:val="000000"/>
                <w:sz w:val="20"/>
                <w:lang w:val="en-US"/>
              </w:rPr>
            </w:pPr>
            <w:r w:rsidRPr="00D0117C">
              <w:rPr>
                <w:rFonts w:ascii="Calibri" w:hAnsi="Calibri" w:cs="Calibri"/>
                <w:b/>
                <w:bCs/>
                <w:color w:val="000000"/>
                <w:sz w:val="20"/>
                <w:lang w:val="en-US"/>
              </w:rPr>
              <w:t>CIA 2012 Plenary Minutes item #</w:t>
            </w:r>
          </w:p>
        </w:tc>
      </w:tr>
      <w:tr w:rsidR="004006A0" w:rsidRPr="00D0117C" w:rsidTr="00B3254E">
        <w:trPr>
          <w:trHeight w:val="675"/>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S1 WG</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Proposal by Hans </w:t>
            </w:r>
            <w:proofErr w:type="spellStart"/>
            <w:r w:rsidRPr="00D0117C">
              <w:rPr>
                <w:rFonts w:ascii="Calibri" w:hAnsi="Calibri" w:cs="Calibri"/>
                <w:color w:val="000000"/>
                <w:sz w:val="20"/>
                <w:lang w:val="en-US"/>
              </w:rPr>
              <w:t>Akerstedt</w:t>
            </w:r>
            <w:proofErr w:type="spellEnd"/>
            <w:r w:rsidRPr="00D0117C">
              <w:rPr>
                <w:rFonts w:ascii="Calibri" w:hAnsi="Calibri" w:cs="Calibri"/>
                <w:color w:val="000000"/>
                <w:sz w:val="20"/>
                <w:lang w:val="en-US"/>
              </w:rPr>
              <w:t xml:space="preserve"> to develop a new rule in S1 5.6.6 to change the deadlines for the No-Show declarations in order to allow </w:t>
            </w:r>
            <w:proofErr w:type="spellStart"/>
            <w:r w:rsidRPr="00D0117C">
              <w:rPr>
                <w:rFonts w:ascii="Calibri" w:hAnsi="Calibri" w:cs="Calibri"/>
                <w:color w:val="000000"/>
                <w:sz w:val="20"/>
                <w:lang w:val="en-US"/>
              </w:rPr>
              <w:t>organisers</w:t>
            </w:r>
            <w:proofErr w:type="spellEnd"/>
            <w:r w:rsidRPr="00D0117C">
              <w:rPr>
                <w:rFonts w:ascii="Calibri" w:hAnsi="Calibri" w:cs="Calibri"/>
                <w:color w:val="000000"/>
                <w:sz w:val="20"/>
                <w:lang w:val="en-US"/>
              </w:rPr>
              <w:t xml:space="preserve"> to invite replacement entrants if the concerned NAC does not wish to replace the absent entrant.</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S1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19</w:t>
            </w:r>
          </w:p>
        </w:tc>
      </w:tr>
      <w:tr w:rsidR="004006A0" w:rsidRPr="00D0117C" w:rsidTr="00B3254E">
        <w:trPr>
          <w:trHeight w:val="675"/>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NTSC</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The initial list of approved loggers is planned to be completed by the plenary 2014.</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NTSC chair</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20</w:t>
            </w:r>
          </w:p>
        </w:tc>
      </w:tr>
      <w:tr w:rsidR="004006A0" w:rsidRPr="00D0117C" w:rsidTr="00B3254E">
        <w:trPr>
          <w:trHeight w:val="675"/>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NTSC</w:t>
            </w:r>
          </w:p>
        </w:tc>
        <w:tc>
          <w:tcPr>
            <w:tcW w:w="6759"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On a side note we agreed that the document section on the FAI website is a mess.</w:t>
            </w:r>
          </w:p>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NTSC also recommends </w:t>
            </w:r>
            <w:proofErr w:type="gramStart"/>
            <w:r w:rsidRPr="00D0117C">
              <w:rPr>
                <w:rFonts w:ascii="Calibri" w:hAnsi="Calibri" w:cs="Calibri"/>
                <w:color w:val="000000"/>
                <w:sz w:val="20"/>
                <w:lang w:val="en-US"/>
              </w:rPr>
              <w:t>to put</w:t>
            </w:r>
            <w:proofErr w:type="gramEnd"/>
            <w:r w:rsidRPr="00D0117C">
              <w:rPr>
                <w:rFonts w:ascii="Calibri" w:hAnsi="Calibri" w:cs="Calibri"/>
                <w:color w:val="000000"/>
                <w:sz w:val="20"/>
                <w:lang w:val="en-US"/>
              </w:rPr>
              <w:t xml:space="preserve"> more prominent links to cia-forums.org and balloonloggers.org on the main Ballooning Commission website.</w:t>
            </w:r>
          </w:p>
        </w:tc>
        <w:tc>
          <w:tcPr>
            <w:tcW w:w="164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 xml:space="preserve">CIA Secretary </w:t>
            </w:r>
          </w:p>
        </w:tc>
        <w:tc>
          <w:tcPr>
            <w:tcW w:w="146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2014</w:t>
            </w:r>
          </w:p>
        </w:tc>
        <w:tc>
          <w:tcPr>
            <w:tcW w:w="1921" w:type="dxa"/>
            <w:tcBorders>
              <w:top w:val="nil"/>
              <w:left w:val="nil"/>
              <w:bottom w:val="single" w:sz="4" w:space="0" w:color="auto"/>
              <w:right w:val="single" w:sz="4" w:space="0" w:color="auto"/>
            </w:tcBorders>
            <w:shd w:val="clear" w:color="auto" w:fill="auto"/>
            <w:vAlign w:val="center"/>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20</w:t>
            </w:r>
          </w:p>
        </w:tc>
      </w:tr>
      <w:tr w:rsidR="004006A0" w:rsidRPr="00D0117C" w:rsidTr="00B3254E">
        <w:trPr>
          <w:trHeight w:val="675"/>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NTSC</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Establish list of CIA approved Loggers</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NTSC chair</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2012</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20</w:t>
            </w:r>
          </w:p>
        </w:tc>
      </w:tr>
      <w:tr w:rsidR="004006A0" w:rsidRPr="00D0117C" w:rsidTr="00B3254E">
        <w:trPr>
          <w:trHeight w:val="675"/>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Brazil</w:t>
            </w:r>
          </w:p>
        </w:tc>
        <w:tc>
          <w:tcPr>
            <w:tcW w:w="6759"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 xml:space="preserve">Keep the CIA and competitors informed about transportation arrangements from Europe to host city in Brazil. </w:t>
            </w:r>
          </w:p>
        </w:tc>
        <w:tc>
          <w:tcPr>
            <w:tcW w:w="164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b/>
                <w:bCs/>
                <w:color w:val="000000"/>
                <w:sz w:val="20"/>
                <w:lang w:val="en-US"/>
              </w:rPr>
            </w:pPr>
            <w:r w:rsidRPr="00D0117C">
              <w:rPr>
                <w:rFonts w:ascii="Calibri" w:hAnsi="Calibri" w:cs="Calibri"/>
                <w:b/>
                <w:bCs/>
                <w:color w:val="000000"/>
                <w:sz w:val="20"/>
                <w:lang w:val="en-US"/>
              </w:rPr>
              <w:t>CIA president</w:t>
            </w:r>
          </w:p>
        </w:tc>
        <w:tc>
          <w:tcPr>
            <w:tcW w:w="146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Plenary 2013</w:t>
            </w:r>
          </w:p>
        </w:tc>
        <w:tc>
          <w:tcPr>
            <w:tcW w:w="1620" w:type="dxa"/>
            <w:tcBorders>
              <w:top w:val="nil"/>
              <w:left w:val="nil"/>
              <w:bottom w:val="single" w:sz="4" w:space="0" w:color="auto"/>
              <w:right w:val="single" w:sz="4" w:space="0" w:color="auto"/>
            </w:tcBorders>
            <w:shd w:val="clear" w:color="auto" w:fill="auto"/>
            <w:noWrap/>
            <w:vAlign w:val="center"/>
            <w:hideMark/>
          </w:tcPr>
          <w:p w:rsidR="004006A0" w:rsidRPr="00D0117C" w:rsidRDefault="004006A0" w:rsidP="00B3254E">
            <w:pPr>
              <w:rPr>
                <w:rFonts w:ascii="Calibri" w:hAnsi="Calibri" w:cs="Calibri"/>
                <w:color w:val="000000"/>
                <w:sz w:val="20"/>
                <w:lang w:val="en-US"/>
              </w:rPr>
            </w:pPr>
            <w:r w:rsidRPr="00D0117C">
              <w:rPr>
                <w:rFonts w:ascii="Calibri" w:hAnsi="Calibri" w:cs="Calibri"/>
                <w:color w:val="000000"/>
                <w:sz w:val="20"/>
                <w:lang w:val="en-US"/>
              </w:rPr>
              <w:t>March 21, 2014</w:t>
            </w:r>
          </w:p>
        </w:tc>
        <w:tc>
          <w:tcPr>
            <w:tcW w:w="1921" w:type="dxa"/>
            <w:tcBorders>
              <w:top w:val="nil"/>
              <w:left w:val="nil"/>
              <w:bottom w:val="single" w:sz="4" w:space="0" w:color="auto"/>
              <w:right w:val="single" w:sz="4" w:space="0" w:color="auto"/>
            </w:tcBorders>
            <w:shd w:val="clear" w:color="auto" w:fill="auto"/>
            <w:vAlign w:val="center"/>
            <w:hideMark/>
          </w:tcPr>
          <w:p w:rsidR="004006A0" w:rsidRPr="00D0117C" w:rsidRDefault="004006A0" w:rsidP="00B3254E">
            <w:pPr>
              <w:jc w:val="center"/>
              <w:rPr>
                <w:rFonts w:ascii="Calibri" w:hAnsi="Calibri" w:cs="Calibri"/>
                <w:color w:val="000000"/>
                <w:sz w:val="20"/>
                <w:lang w:val="en-US"/>
              </w:rPr>
            </w:pPr>
            <w:r w:rsidRPr="00D0117C">
              <w:rPr>
                <w:rFonts w:ascii="Calibri" w:hAnsi="Calibri" w:cs="Calibri"/>
                <w:color w:val="000000"/>
                <w:sz w:val="20"/>
                <w:lang w:val="en-US"/>
              </w:rPr>
              <w:t>36</w:t>
            </w:r>
          </w:p>
        </w:tc>
      </w:tr>
    </w:tbl>
    <w:p w:rsidR="00BA5DC2" w:rsidRDefault="00BA5DC2" w:rsidP="004006A0">
      <w:pPr>
        <w:pBdr>
          <w:bottom w:val="single" w:sz="6" w:space="3" w:color="auto"/>
        </w:pBdr>
        <w:autoSpaceDE w:val="0"/>
        <w:autoSpaceDN w:val="0"/>
        <w:adjustRightInd w:val="0"/>
        <w:jc w:val="both"/>
      </w:pPr>
    </w:p>
    <w:sectPr w:rsidR="00BA5DC2" w:rsidSect="004006A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A0"/>
    <w:rsid w:val="004006A0"/>
    <w:rsid w:val="00BA5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6A0"/>
    <w:pPr>
      <w:spacing w:after="0" w:line="240" w:lineRule="auto"/>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6A0"/>
    <w:pPr>
      <w:spacing w:after="0" w:line="240" w:lineRule="auto"/>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745</Words>
  <Characters>4252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cp:revision>
  <dcterms:created xsi:type="dcterms:W3CDTF">2014-01-19T03:14:00Z</dcterms:created>
  <dcterms:modified xsi:type="dcterms:W3CDTF">2014-01-19T03:16:00Z</dcterms:modified>
</cp:coreProperties>
</file>